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left="0" w:firstLine="0" w:right="0"/>
        <w:contextualSpacing w:val="0"/>
        <w:jc w:val="center"/>
      </w:pPr>
      <w:r w:rsidRPr="00000000" w:rsidR="00000000" w:rsidDel="00000000">
        <w:rPr>
          <w:b w:val="1"/>
          <w:rtl w:val="0"/>
        </w:rPr>
        <w:t xml:space="preserve">Rubric for Article Review – 8</w:t>
      </w:r>
      <w:r w:rsidRPr="00000000" w:rsidR="00000000" w:rsidDel="00000000">
        <w:rPr>
          <w:b w:val="1"/>
          <w:vertAlign w:val="superscript"/>
          <w:rtl w:val="0"/>
        </w:rPr>
        <w:t xml:space="preserve">th</w:t>
      </w:r>
      <w:r w:rsidRPr="00000000" w:rsidR="00000000" w:rsidDel="00000000">
        <w:rPr>
          <w:b w:val="1"/>
          <w:rtl w:val="0"/>
        </w:rPr>
        <w:t xml:space="preserve"> grade</w:t>
      </w:r>
      <w:r w:rsidRPr="00000000" w:rsidR="00000000" w:rsidDel="00000000">
        <w:rPr>
          <w:rtl w:val="0"/>
        </w:rPr>
      </w:r>
    </w:p>
    <w:tbl>
      <w:tblPr>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596"/>
        <w:gridCol w:w="1596"/>
        <w:gridCol w:w="1596"/>
        <w:gridCol w:w="1596"/>
        <w:gridCol w:w="1596"/>
        <w:gridCol w:w="1596"/>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0</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1</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2</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3</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4</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Format</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Poor spelling, grammar and incomplete sentences.  No sense of organization to the writing.</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Incomplete sentences, significant grammatical errors.  Lacks flow.</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Complete sentences, few grammatical errors.  Lacks flow.</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Complete sentences, correct grammar.  Lacks flow.</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Complete sentences, logical flow, correct grammar.  </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Length</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1 paragraph with few sentences.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Review is 2 paragraphs long and/or has very few sentences per paragraph.</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Review is 3 paragraphs long and all are less than 6 sentences.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Review is 3 paragraphs long and some paragraphs have less than 6 sentences.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Review is 3 paragraphs long and each paragraph has a minimum of 6 sentences.</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Mindfulness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Review is mindless.  It lacks reflective thought or in depth analysis of one’s own thoughts or feelings.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Review shows some signs of careful thought but was clearly rushed or not carefully enough considered.</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Review is thoughtful and reflective but does not share what student already knows or what student wonders or questions.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Review is thoughtful, reflective and discusses student’s understanding but does not probe or consider new questions.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Review is thoughtful, reflective and discusses student’s understanding and/or questions.</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Technical Information</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bookmarkStart w:id="0" w:colFirst="0" w:name="h.gjdgxs" w:colLast="0"/>
            <w:bookmarkEnd w:id="0"/>
            <w:r w:rsidRPr="00000000" w:rsidR="00000000" w:rsidDel="00000000">
              <w:rPr>
                <w:rtl w:val="0"/>
              </w:rPr>
              <w:t xml:space="preserve">Ideas in the article are not adequately reviewed.  Writer misinterprets what he or she read.</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Some of the ideas in the article are not adequately reviewed.  Writer misinterprets some of what he or she read.</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Review adequately describes the main ideas in the article.</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Review adequately describes the main ideas in the article and how they apply to the career that the student has chosen.  </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Review adequately describes the main ideas in the article and how they apply to the career that the student has chosen.  Review demonstrates how new information learned from the article is incorporated into what the student has learned already from other sources.</w:t>
            </w:r>
          </w:p>
        </w:tc>
      </w:tr>
    </w:tbl>
    <w:p w:rsidP="00000000" w:rsidRPr="00000000" w:rsidR="00000000" w:rsidDel="00000000" w:rsidRDefault="00000000">
      <w:pPr>
        <w:contextualSpacing w:val="0"/>
        <w:jc w:val="cente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RUBRIC ARTICLE REVIEW.docx</dc:title>
</cp:coreProperties>
</file>